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7172D1C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1760D">
        <w:rPr>
          <w:rFonts w:ascii="Calibri" w:hAnsi="Calibri"/>
        </w:rPr>
        <w:t>3</w:t>
      </w:r>
      <w:r w:rsidRPr="007A395D">
        <w:rPr>
          <w:rFonts w:ascii="Calibri" w:hAnsi="Calibri"/>
        </w:rPr>
        <w:t>-</w:t>
      </w:r>
      <w:r w:rsidR="00ED7088">
        <w:rPr>
          <w:rFonts w:ascii="Calibri" w:hAnsi="Calibri"/>
        </w:rPr>
        <w:t>3.1.3.3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2EE2AA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84D72">
        <w:rPr>
          <w:rFonts w:ascii="Calibri" w:hAnsi="Calibri" w:cs="Arial"/>
          <w:sz w:val="24"/>
          <w:szCs w:val="24"/>
        </w:rPr>
        <w:t xml:space="preserve">X </w:t>
      </w:r>
      <w:r w:rsidRPr="007A395D">
        <w:rPr>
          <w:rFonts w:ascii="Calibri" w:hAnsi="Calibri" w:cs="Arial"/>
          <w:sz w:val="24"/>
          <w:szCs w:val="24"/>
        </w:rPr>
        <w:t>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42E174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77777777" w:rsidR="0080294B" w:rsidRPr="007A395D" w:rsidRDefault="0080294B" w:rsidP="00FE5674">
      <w:pPr>
        <w:pStyle w:val="BodyText"/>
        <w:tabs>
          <w:tab w:val="left" w:pos="2835"/>
        </w:tabs>
        <w:rPr>
          <w:rFonts w:ascii="Calibri" w:hAnsi="Calibri"/>
        </w:rPr>
      </w:pPr>
    </w:p>
    <w:p w14:paraId="4834080C" w14:textId="33DFF0AA" w:rsidR="00A446C9" w:rsidRPr="00605E43" w:rsidRDefault="00984D72" w:rsidP="00A446C9">
      <w:pPr>
        <w:pStyle w:val="Title"/>
        <w:rPr>
          <w:rFonts w:ascii="Calibri" w:hAnsi="Calibri"/>
          <w:color w:val="0070C0"/>
        </w:rPr>
      </w:pPr>
      <w:r>
        <w:rPr>
          <w:rFonts w:ascii="Calibri" w:hAnsi="Calibri"/>
          <w:color w:val="0070C0"/>
        </w:rPr>
        <w:t>High Accuracy Systems Guidelines</w:t>
      </w:r>
    </w:p>
    <w:p w14:paraId="0F258596" w14:textId="50FB6E37" w:rsidR="00A446C9" w:rsidRPr="00605E43" w:rsidRDefault="00A446C9" w:rsidP="00605E43">
      <w:pPr>
        <w:pStyle w:val="Heading1"/>
      </w:pPr>
      <w:r w:rsidRPr="00605E43">
        <w:t>Summary</w:t>
      </w:r>
    </w:p>
    <w:p w14:paraId="7D7B094E" w14:textId="77777777" w:rsidR="00984D72" w:rsidRDefault="00984D72" w:rsidP="00984D72">
      <w:pPr>
        <w:pStyle w:val="BodyText"/>
        <w:rPr>
          <w:rFonts w:asciiTheme="minorHAnsi" w:hAnsiTheme="minorHAnsi" w:cstheme="minorHAnsi"/>
        </w:rPr>
      </w:pPr>
      <w:r w:rsidRPr="00984D72">
        <w:rPr>
          <w:rFonts w:asciiTheme="minorHAnsi" w:hAnsiTheme="minorHAnsi" w:cstheme="minorHAnsi"/>
        </w:rPr>
        <w:t xml:space="preserve">The purpose of this document is to </w:t>
      </w:r>
      <w:r>
        <w:rPr>
          <w:rFonts w:asciiTheme="minorHAnsi" w:hAnsiTheme="minorHAnsi" w:cstheme="minorHAnsi"/>
        </w:rPr>
        <w:t xml:space="preserve">present the new </w:t>
      </w:r>
      <w:r w:rsidRPr="00984D72">
        <w:rPr>
          <w:rFonts w:asciiTheme="minorHAnsi" w:hAnsiTheme="minorHAnsi" w:cstheme="minorHAnsi"/>
        </w:rPr>
        <w:t>High Accuracy Systems Guidelines</w:t>
      </w:r>
      <w:r>
        <w:rPr>
          <w:rFonts w:asciiTheme="minorHAnsi" w:hAnsiTheme="minorHAnsi" w:cstheme="minorHAnsi"/>
        </w:rPr>
        <w:t xml:space="preserve">, which admen or supersedes current IALA G1127 Guidelines. These new guidelines will </w:t>
      </w:r>
      <w:r w:rsidRPr="00984D72">
        <w:rPr>
          <w:rFonts w:asciiTheme="minorHAnsi" w:hAnsiTheme="minorHAnsi" w:cstheme="minorHAnsi"/>
        </w:rPr>
        <w:t>provide an overview about systems and services enabling high‐accuracy</w:t>
      </w:r>
      <w:r>
        <w:rPr>
          <w:rFonts w:asciiTheme="minorHAnsi" w:hAnsiTheme="minorHAnsi" w:cstheme="minorHAnsi"/>
        </w:rPr>
        <w:t xml:space="preserve"> </w:t>
      </w:r>
      <w:r w:rsidRPr="00984D72">
        <w:rPr>
          <w:rFonts w:asciiTheme="minorHAnsi" w:hAnsiTheme="minorHAnsi" w:cstheme="minorHAnsi"/>
        </w:rPr>
        <w:t>positioning or ranging in specific areas such as waterways, traffic separation schemes, traffic zones with limited</w:t>
      </w:r>
      <w:r>
        <w:rPr>
          <w:rFonts w:asciiTheme="minorHAnsi" w:hAnsiTheme="minorHAnsi" w:cstheme="minorHAnsi"/>
        </w:rPr>
        <w:t xml:space="preserve"> </w:t>
      </w:r>
      <w:r w:rsidRPr="00984D72">
        <w:rPr>
          <w:rFonts w:asciiTheme="minorHAnsi" w:hAnsiTheme="minorHAnsi" w:cstheme="minorHAnsi"/>
        </w:rPr>
        <w:t>manoeuvring space, ports and harbours, and congested waters with increased risks of collisions or groundings.</w:t>
      </w:r>
      <w:r>
        <w:rPr>
          <w:rFonts w:asciiTheme="minorHAnsi" w:hAnsiTheme="minorHAnsi" w:cstheme="minorHAnsi"/>
        </w:rPr>
        <w:t xml:space="preserve"> </w:t>
      </w:r>
    </w:p>
    <w:p w14:paraId="54FCBD5D" w14:textId="33465333" w:rsidR="00984D72" w:rsidRDefault="00984D72" w:rsidP="00984D72">
      <w:pPr>
        <w:pStyle w:val="BodyText"/>
        <w:rPr>
          <w:rFonts w:asciiTheme="minorHAnsi" w:hAnsiTheme="minorHAnsi" w:cstheme="minorHAnsi"/>
        </w:rPr>
      </w:pPr>
      <w:r w:rsidRPr="00984D72">
        <w:rPr>
          <w:rFonts w:asciiTheme="minorHAnsi" w:hAnsiTheme="minorHAnsi" w:cstheme="minorHAnsi"/>
        </w:rPr>
        <w:t xml:space="preserve">Each high‐accuracy system or service </w:t>
      </w:r>
      <w:r>
        <w:rPr>
          <w:rFonts w:asciiTheme="minorHAnsi" w:hAnsiTheme="minorHAnsi" w:cstheme="minorHAnsi"/>
        </w:rPr>
        <w:t>may</w:t>
      </w:r>
      <w:r w:rsidRPr="00984D72">
        <w:rPr>
          <w:rFonts w:asciiTheme="minorHAnsi" w:hAnsiTheme="minorHAnsi" w:cstheme="minorHAnsi"/>
        </w:rPr>
        <w:t xml:space="preserve"> require its own Guideline to cla</w:t>
      </w:r>
      <w:r w:rsidR="006E556F">
        <w:rPr>
          <w:rFonts w:asciiTheme="minorHAnsi" w:hAnsiTheme="minorHAnsi" w:cstheme="minorHAnsi"/>
        </w:rPr>
        <w:t xml:space="preserve">rify the different architecture, </w:t>
      </w:r>
      <w:r w:rsidRPr="00984D72">
        <w:rPr>
          <w:rFonts w:asciiTheme="minorHAnsi" w:hAnsiTheme="minorHAnsi" w:cstheme="minorHAnsi"/>
        </w:rPr>
        <w:t>system</w:t>
      </w:r>
      <w:r>
        <w:rPr>
          <w:rFonts w:asciiTheme="minorHAnsi" w:hAnsiTheme="minorHAnsi" w:cstheme="minorHAnsi"/>
        </w:rPr>
        <w:t xml:space="preserve"> </w:t>
      </w:r>
      <w:r w:rsidRPr="00984D72">
        <w:rPr>
          <w:rFonts w:asciiTheme="minorHAnsi" w:hAnsiTheme="minorHAnsi" w:cstheme="minorHAnsi"/>
        </w:rPr>
        <w:t>parameters</w:t>
      </w:r>
      <w:r w:rsidR="006E556F">
        <w:rPr>
          <w:rFonts w:asciiTheme="minorHAnsi" w:hAnsiTheme="minorHAnsi" w:cstheme="minorHAnsi"/>
        </w:rPr>
        <w:t xml:space="preserve"> or specific processing aspects</w:t>
      </w:r>
      <w:r w:rsidRPr="00984D72">
        <w:rPr>
          <w:rFonts w:asciiTheme="minorHAnsi" w:hAnsiTheme="minorHAnsi" w:cstheme="minorHAnsi"/>
        </w:rPr>
        <w:t xml:space="preserve">. This </w:t>
      </w:r>
      <w:r>
        <w:rPr>
          <w:rFonts w:asciiTheme="minorHAnsi" w:hAnsiTheme="minorHAnsi" w:cstheme="minorHAnsi"/>
        </w:rPr>
        <w:t>guideline will</w:t>
      </w:r>
      <w:r w:rsidRPr="00984D72">
        <w:rPr>
          <w:rFonts w:asciiTheme="minorHAnsi" w:hAnsiTheme="minorHAnsi" w:cstheme="minorHAnsi"/>
        </w:rPr>
        <w:t xml:space="preserve"> provides a </w:t>
      </w:r>
      <w:r>
        <w:rPr>
          <w:rFonts w:asciiTheme="minorHAnsi" w:hAnsiTheme="minorHAnsi" w:cstheme="minorHAnsi"/>
        </w:rPr>
        <w:t xml:space="preserve">high level view of the most important HA system features and a </w:t>
      </w:r>
      <w:r w:rsidRPr="00984D72">
        <w:rPr>
          <w:rFonts w:asciiTheme="minorHAnsi" w:hAnsiTheme="minorHAnsi" w:cstheme="minorHAnsi"/>
        </w:rPr>
        <w:t>framework for such guidelines to support their consistency.</w:t>
      </w:r>
    </w:p>
    <w:p w14:paraId="7264C834" w14:textId="6C9A3511" w:rsidR="00984D72" w:rsidRPr="00984D72" w:rsidRDefault="00984D72" w:rsidP="00984D72">
      <w:pPr>
        <w:pStyle w:val="BodyText"/>
        <w:rPr>
          <w:rFonts w:asciiTheme="minorHAnsi" w:hAnsiTheme="minorHAnsi" w:cstheme="minorHAnsi"/>
        </w:rPr>
      </w:pPr>
      <w:r w:rsidRPr="00984D72">
        <w:rPr>
          <w:rFonts w:asciiTheme="minorHAnsi" w:hAnsiTheme="minorHAnsi" w:cstheme="minorHAnsi"/>
        </w:rPr>
        <w:t xml:space="preserve">The </w:t>
      </w:r>
      <w:r>
        <w:rPr>
          <w:rFonts w:asciiTheme="minorHAnsi" w:hAnsiTheme="minorHAnsi" w:cstheme="minorHAnsi"/>
        </w:rPr>
        <w:t>guidelines will provide</w:t>
      </w:r>
      <w:r w:rsidRPr="00984D72">
        <w:rPr>
          <w:rFonts w:asciiTheme="minorHAnsi" w:hAnsiTheme="minorHAnsi" w:cstheme="minorHAnsi"/>
        </w:rPr>
        <w:t xml:space="preserve"> guidance to stakeholders, operators, and end users regarding principal aspects, which should be considered for deployment and operation of systems as well as utilisation of services. These include applications, performance requirements, functional principles, and generic descriptions concerning the main aspects that have to be considered during implementation and operation.</w:t>
      </w:r>
    </w:p>
    <w:p w14:paraId="3C575A26" w14:textId="7EF96DAD" w:rsidR="001C44A3" w:rsidRDefault="00BD4E6F" w:rsidP="00984D72">
      <w:pPr>
        <w:pStyle w:val="Heading2"/>
      </w:pPr>
      <w:r w:rsidRPr="00605E43">
        <w:t>Purpose</w:t>
      </w:r>
      <w:r w:rsidR="004D1D85" w:rsidRPr="00605E43">
        <w:t xml:space="preserve"> of the document</w:t>
      </w:r>
    </w:p>
    <w:p w14:paraId="72F2C61B" w14:textId="2EA55801" w:rsidR="00984D72" w:rsidRPr="00984D72" w:rsidRDefault="00984D72" w:rsidP="00984D72">
      <w:pPr>
        <w:pStyle w:val="BodyText"/>
      </w:pPr>
      <w:r w:rsidRPr="00984D72">
        <w:rPr>
          <w:rFonts w:asciiTheme="minorHAnsi" w:hAnsiTheme="minorHAnsi" w:cstheme="minorHAnsi"/>
        </w:rPr>
        <w:t xml:space="preserve">The purpose of this document is to </w:t>
      </w:r>
      <w:r>
        <w:rPr>
          <w:rFonts w:asciiTheme="minorHAnsi" w:hAnsiTheme="minorHAnsi" w:cstheme="minorHAnsi"/>
        </w:rPr>
        <w:t xml:space="preserve">present the new </w:t>
      </w:r>
      <w:r w:rsidRPr="00984D72">
        <w:rPr>
          <w:rFonts w:asciiTheme="minorHAnsi" w:hAnsiTheme="minorHAnsi" w:cstheme="minorHAnsi"/>
        </w:rPr>
        <w:t>High Accuracy Systems Guidelines</w:t>
      </w:r>
      <w:r>
        <w:rPr>
          <w:rFonts w:asciiTheme="minorHAnsi" w:hAnsiTheme="minorHAnsi" w:cstheme="minorHAnsi"/>
        </w:rPr>
        <w:t xml:space="preserve">, which </w:t>
      </w:r>
      <w:r w:rsidR="00B11F36">
        <w:rPr>
          <w:rFonts w:asciiTheme="minorHAnsi" w:hAnsiTheme="minorHAnsi" w:cstheme="minorHAnsi"/>
        </w:rPr>
        <w:t xml:space="preserve">will </w:t>
      </w:r>
      <w:r>
        <w:rPr>
          <w:rFonts w:asciiTheme="minorHAnsi" w:hAnsiTheme="minorHAnsi" w:cstheme="minorHAnsi"/>
        </w:rPr>
        <w:t>admen or supersedes current IALA G1127 Guidelines.</w:t>
      </w:r>
    </w:p>
    <w:p w14:paraId="36D645BE" w14:textId="0F463A58" w:rsidR="00B56BDF" w:rsidRPr="007A395D" w:rsidRDefault="00B56BDF" w:rsidP="00984D72">
      <w:pPr>
        <w:pStyle w:val="Heading2"/>
      </w:pPr>
      <w:r w:rsidRPr="007A395D">
        <w:t>Related documents</w:t>
      </w:r>
    </w:p>
    <w:p w14:paraId="125E2E73" w14:textId="28982F06" w:rsidR="00B11F36" w:rsidRPr="00B11F36" w:rsidRDefault="00B11F36" w:rsidP="00B11F36">
      <w:pPr>
        <w:pStyle w:val="BodyText"/>
        <w:rPr>
          <w:rFonts w:asciiTheme="minorHAnsi" w:hAnsiTheme="minorHAnsi" w:cstheme="minorHAnsi"/>
          <w:b/>
          <w:caps/>
          <w:color w:val="0070C0"/>
          <w:kern w:val="28"/>
          <w:sz w:val="24"/>
          <w:lang w:eastAsia="de-DE"/>
        </w:rPr>
      </w:pPr>
      <w:r w:rsidRPr="00B11F36">
        <w:rPr>
          <w:rFonts w:asciiTheme="minorHAnsi" w:hAnsiTheme="minorHAnsi" w:cstheme="minorHAnsi"/>
        </w:rPr>
        <w:t>IALA G1127 systems and services for High Accuracy positioning and ranging</w:t>
      </w:r>
    </w:p>
    <w:p w14:paraId="53733F03" w14:textId="4228BB5C" w:rsidR="00A446C9" w:rsidRPr="007A395D" w:rsidRDefault="00A446C9" w:rsidP="00B11F36">
      <w:pPr>
        <w:pStyle w:val="Heading1"/>
      </w:pPr>
      <w:r w:rsidRPr="007A395D">
        <w:t>Background</w:t>
      </w:r>
    </w:p>
    <w:p w14:paraId="0A1A5533" w14:textId="57A2E8B6" w:rsidR="00AD13D7" w:rsidRDefault="00AD13D7" w:rsidP="00AD13D7">
      <w:pPr>
        <w:pStyle w:val="BodyText"/>
        <w:rPr>
          <w:rFonts w:ascii="Calibri" w:hAnsi="Calibri"/>
        </w:rPr>
      </w:pPr>
      <w:r w:rsidRPr="00AD13D7">
        <w:rPr>
          <w:rFonts w:ascii="Calibri" w:hAnsi="Calibri"/>
        </w:rPr>
        <w:t>By using one of the first GNSS (GPS, GLONASS) it was possible to determine horizontal position with an accuracy</w:t>
      </w:r>
      <w:r>
        <w:rPr>
          <w:rFonts w:ascii="Calibri" w:hAnsi="Calibri"/>
        </w:rPr>
        <w:t xml:space="preserve"> </w:t>
      </w:r>
      <w:r w:rsidRPr="00AD13D7">
        <w:rPr>
          <w:rFonts w:ascii="Calibri" w:hAnsi="Calibri"/>
        </w:rPr>
        <w:t>of several tens of metres. In the 1990s, GNSS augmentation sys</w:t>
      </w:r>
      <w:r w:rsidR="007C183E">
        <w:rPr>
          <w:rFonts w:ascii="Calibri" w:hAnsi="Calibri"/>
        </w:rPr>
        <w:t>tems such as IALA Beacon DGNSS</w:t>
      </w:r>
      <w:r w:rsidRPr="00AD13D7">
        <w:rPr>
          <w:rFonts w:ascii="Calibri" w:hAnsi="Calibri"/>
        </w:rPr>
        <w:t xml:space="preserve"> were</w:t>
      </w:r>
      <w:r>
        <w:rPr>
          <w:rFonts w:ascii="Calibri" w:hAnsi="Calibri"/>
        </w:rPr>
        <w:t xml:space="preserve"> </w:t>
      </w:r>
      <w:r w:rsidRPr="00AD13D7">
        <w:rPr>
          <w:rFonts w:ascii="Calibri" w:hAnsi="Calibri"/>
        </w:rPr>
        <w:t xml:space="preserve">developed and established to provide correction data for GPS or GLONASS </w:t>
      </w:r>
      <w:r>
        <w:rPr>
          <w:rFonts w:ascii="Calibri" w:hAnsi="Calibri"/>
        </w:rPr>
        <w:t xml:space="preserve">signals. These services made it </w:t>
      </w:r>
      <w:r w:rsidRPr="00AD13D7">
        <w:rPr>
          <w:rFonts w:ascii="Calibri" w:hAnsi="Calibri"/>
        </w:rPr>
        <w:t>possible</w:t>
      </w:r>
      <w:r>
        <w:rPr>
          <w:rFonts w:ascii="Calibri" w:hAnsi="Calibri"/>
        </w:rPr>
        <w:t xml:space="preserve"> </w:t>
      </w:r>
      <w:r w:rsidRPr="00AD13D7">
        <w:rPr>
          <w:rFonts w:ascii="Calibri" w:hAnsi="Calibri"/>
        </w:rPr>
        <w:t>to meet the IMO requirements for position accuracy and integrity for nav</w:t>
      </w:r>
      <w:r>
        <w:rPr>
          <w:rFonts w:ascii="Calibri" w:hAnsi="Calibri"/>
        </w:rPr>
        <w:t>igation in coastal areas. Where G</w:t>
      </w:r>
      <w:r w:rsidRPr="00AD13D7">
        <w:rPr>
          <w:rFonts w:ascii="Calibri" w:hAnsi="Calibri"/>
        </w:rPr>
        <w:t>NSS is</w:t>
      </w:r>
      <w:r>
        <w:rPr>
          <w:rFonts w:ascii="Calibri" w:hAnsi="Calibri"/>
        </w:rPr>
        <w:t xml:space="preserve"> </w:t>
      </w:r>
      <w:r w:rsidRPr="00AD13D7">
        <w:rPr>
          <w:rFonts w:ascii="Calibri" w:hAnsi="Calibri"/>
        </w:rPr>
        <w:t xml:space="preserve">not able to provide sufficient positioning accuracy and integrity for more demanding </w:t>
      </w:r>
      <w:r w:rsidRPr="00AD13D7">
        <w:rPr>
          <w:rFonts w:ascii="Calibri" w:hAnsi="Calibri"/>
        </w:rPr>
        <w:lastRenderedPageBreak/>
        <w:t>applications, enhanced GNSS</w:t>
      </w:r>
      <w:r>
        <w:rPr>
          <w:rFonts w:ascii="Calibri" w:hAnsi="Calibri"/>
        </w:rPr>
        <w:t xml:space="preserve"> </w:t>
      </w:r>
      <w:r w:rsidRPr="00AD13D7">
        <w:rPr>
          <w:rFonts w:ascii="Calibri" w:hAnsi="Calibri"/>
        </w:rPr>
        <w:t>augmentation services as well as alternative and complementary localisation systems are suitable approaches for</w:t>
      </w:r>
      <w:r>
        <w:rPr>
          <w:rFonts w:ascii="Calibri" w:hAnsi="Calibri"/>
        </w:rPr>
        <w:t xml:space="preserve"> </w:t>
      </w:r>
      <w:r w:rsidRPr="00AD13D7">
        <w:rPr>
          <w:rFonts w:ascii="Calibri" w:hAnsi="Calibri"/>
        </w:rPr>
        <w:t>high accurate positioning and ranging.</w:t>
      </w:r>
      <w:r>
        <w:rPr>
          <w:rFonts w:ascii="Calibri" w:hAnsi="Calibri"/>
        </w:rPr>
        <w:t xml:space="preserve"> </w:t>
      </w:r>
    </w:p>
    <w:p w14:paraId="07452EBC" w14:textId="66478141" w:rsidR="00A446C9" w:rsidRPr="007A395D" w:rsidRDefault="00AD13D7" w:rsidP="00AD13D7">
      <w:pPr>
        <w:pStyle w:val="BodyText"/>
        <w:rPr>
          <w:rFonts w:ascii="Calibri" w:hAnsi="Calibri"/>
        </w:rPr>
      </w:pPr>
      <w:r w:rsidRPr="00AD13D7">
        <w:rPr>
          <w:rFonts w:ascii="Calibri" w:hAnsi="Calibri"/>
        </w:rPr>
        <w:t>The demand for systems and services for high</w:t>
      </w:r>
      <w:r w:rsidRPr="00AD13D7">
        <w:rPr>
          <w:rFonts w:ascii="Calibri" w:hAnsi="Calibri" w:cs="Cambria Math"/>
        </w:rPr>
        <w:t>‐</w:t>
      </w:r>
      <w:r w:rsidRPr="00AD13D7">
        <w:rPr>
          <w:rFonts w:ascii="Calibri" w:hAnsi="Calibri"/>
        </w:rPr>
        <w:t>accuracy positioning and ranging results from specific navigational</w:t>
      </w:r>
      <w:r>
        <w:rPr>
          <w:rFonts w:ascii="Calibri" w:hAnsi="Calibri"/>
        </w:rPr>
        <w:t xml:space="preserve"> </w:t>
      </w:r>
      <w:r w:rsidRPr="00AD13D7">
        <w:rPr>
          <w:rFonts w:ascii="Calibri" w:hAnsi="Calibri"/>
        </w:rPr>
        <w:t>manoeuvres (e.g. automatic docking) as well as specific nautical applications (e.g. automatic track control in</w:t>
      </w:r>
      <w:r>
        <w:rPr>
          <w:rFonts w:ascii="Calibri" w:hAnsi="Calibri"/>
        </w:rPr>
        <w:t xml:space="preserve"> </w:t>
      </w:r>
      <w:r w:rsidRPr="00AD13D7">
        <w:rPr>
          <w:rFonts w:ascii="Calibri" w:hAnsi="Calibri"/>
        </w:rPr>
        <w:t>critical areas, dynamic positioning, pilotage). Due to the safety critical aspects of such situations and areas the</w:t>
      </w:r>
      <w:r>
        <w:rPr>
          <w:rFonts w:ascii="Calibri" w:hAnsi="Calibri"/>
        </w:rPr>
        <w:t xml:space="preserve"> </w:t>
      </w:r>
      <w:r w:rsidRPr="00AD13D7">
        <w:rPr>
          <w:rFonts w:ascii="Calibri" w:hAnsi="Calibri"/>
        </w:rPr>
        <w:t>system and data integrity sh</w:t>
      </w:r>
      <w:r>
        <w:rPr>
          <w:rFonts w:ascii="Calibri" w:hAnsi="Calibri"/>
        </w:rPr>
        <w:t>ould be monitored and evaluated</w:t>
      </w:r>
      <w:r w:rsidR="00D620A1">
        <w:rPr>
          <w:rFonts w:ascii="Calibri" w:hAnsi="Calibri"/>
        </w:rPr>
        <w:t>.</w:t>
      </w:r>
    </w:p>
    <w:p w14:paraId="1D083D92" w14:textId="77777777" w:rsidR="00180DDA" w:rsidRPr="007A395D" w:rsidRDefault="00180DDA" w:rsidP="00605E43">
      <w:pPr>
        <w:pStyle w:val="Heading1"/>
      </w:pPr>
      <w:r w:rsidRPr="007A395D">
        <w:t>References</w:t>
      </w:r>
    </w:p>
    <w:p w14:paraId="5ADF2710" w14:textId="77777777" w:rsidR="002E07F6" w:rsidRPr="002E07F6" w:rsidRDefault="00984D72" w:rsidP="002E07F6">
      <w:pPr>
        <w:pStyle w:val="References"/>
        <w:rPr>
          <w:rFonts w:asciiTheme="minorHAnsi" w:hAnsiTheme="minorHAnsi" w:cstheme="minorHAnsi"/>
        </w:rPr>
      </w:pPr>
      <w:r w:rsidRPr="002E07F6">
        <w:rPr>
          <w:rFonts w:asciiTheme="minorHAnsi" w:hAnsiTheme="minorHAnsi" w:cstheme="minorHAnsi"/>
        </w:rPr>
        <w:t>IALA G1127 Systems and services for High Accuracy Positioning and Ranging Guidelines</w:t>
      </w:r>
    </w:p>
    <w:p w14:paraId="7D3389D6" w14:textId="77777777" w:rsidR="002E07F6" w:rsidRPr="002E07F6" w:rsidRDefault="002E07F6" w:rsidP="002E07F6">
      <w:pPr>
        <w:pStyle w:val="References"/>
        <w:rPr>
          <w:rFonts w:asciiTheme="minorHAnsi" w:hAnsiTheme="minorHAnsi" w:cstheme="minorHAnsi"/>
        </w:rPr>
      </w:pPr>
      <w:r w:rsidRPr="002E07F6">
        <w:rPr>
          <w:rFonts w:asciiTheme="minorHAnsi" w:hAnsiTheme="minorHAnsi" w:cstheme="minorHAnsi"/>
        </w:rPr>
        <w:t>IMO Resolution A.1046(27): Revised Report on the study of a World-Wide Radionavigation System</w:t>
      </w:r>
      <w:r w:rsidRPr="002E07F6">
        <w:rPr>
          <w:rFonts w:asciiTheme="minorHAnsi" w:hAnsiTheme="minorHAnsi" w:cstheme="minorHAnsi"/>
        </w:rPr>
        <w:tab/>
        <w:t>Normative (Resolution)</w:t>
      </w:r>
      <w:r w:rsidRPr="002E07F6">
        <w:rPr>
          <w:rFonts w:asciiTheme="minorHAnsi" w:hAnsiTheme="minorHAnsi" w:cstheme="minorHAnsi"/>
        </w:rPr>
        <w:tab/>
        <w:t>20 November 2011</w:t>
      </w:r>
    </w:p>
    <w:p w14:paraId="0C19831B" w14:textId="77777777" w:rsidR="002E07F6" w:rsidRPr="002E07F6" w:rsidRDefault="002E07F6" w:rsidP="002E07F6">
      <w:pPr>
        <w:pStyle w:val="References"/>
        <w:rPr>
          <w:rFonts w:asciiTheme="minorHAnsi" w:hAnsiTheme="minorHAnsi" w:cstheme="minorHAnsi"/>
        </w:rPr>
      </w:pPr>
      <w:r w:rsidRPr="002E07F6">
        <w:rPr>
          <w:rFonts w:asciiTheme="minorHAnsi" w:hAnsiTheme="minorHAnsi" w:cstheme="minorHAnsi"/>
        </w:rPr>
        <w:t>IMO Recommendation A.915(22): Revised maritime policy and requirements for a future Global Navigation Satellite System (GNSS)</w:t>
      </w:r>
      <w:r w:rsidRPr="002E07F6">
        <w:rPr>
          <w:rFonts w:asciiTheme="minorHAnsi" w:hAnsiTheme="minorHAnsi" w:cstheme="minorHAnsi"/>
        </w:rPr>
        <w:tab/>
        <w:t>Normative (Recommendation)</w:t>
      </w:r>
      <w:r w:rsidRPr="002E07F6">
        <w:rPr>
          <w:rFonts w:asciiTheme="minorHAnsi" w:hAnsiTheme="minorHAnsi" w:cstheme="minorHAnsi"/>
        </w:rPr>
        <w:tab/>
        <w:t>29 November 2001</w:t>
      </w:r>
    </w:p>
    <w:p w14:paraId="7DADD28D" w14:textId="6E1BE722" w:rsidR="002E07F6" w:rsidRPr="002E07F6" w:rsidRDefault="002E07F6" w:rsidP="002E07F6">
      <w:pPr>
        <w:pStyle w:val="References"/>
        <w:rPr>
          <w:rFonts w:asciiTheme="minorHAnsi" w:hAnsiTheme="minorHAnsi" w:cstheme="minorHAnsi"/>
        </w:rPr>
      </w:pPr>
      <w:r w:rsidRPr="002E07F6">
        <w:rPr>
          <w:rFonts w:asciiTheme="minorHAnsi" w:hAnsiTheme="minorHAnsi" w:cstheme="minorHAnsi"/>
        </w:rPr>
        <w:t>IMO Resolution MSC.401(95): performance standards for multi-system shipborne Radionavigation receivers</w:t>
      </w:r>
    </w:p>
    <w:p w14:paraId="7A8D2F27" w14:textId="49C74BA5" w:rsidR="00A446C9" w:rsidRPr="002E07F6" w:rsidRDefault="00A446C9" w:rsidP="002E07F6">
      <w:pPr>
        <w:pStyle w:val="Heading1"/>
      </w:pPr>
      <w:r w:rsidRPr="007A395D">
        <w:t>Action requested of the Committee</w:t>
      </w:r>
    </w:p>
    <w:p w14:paraId="1556E528" w14:textId="0F1C8DEF"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0ACBEC9" w14:textId="56BCA357" w:rsidR="004D1D85" w:rsidRPr="0079385F" w:rsidRDefault="0079385F" w:rsidP="0079385F">
      <w:pPr>
        <w:pStyle w:val="List1"/>
        <w:numPr>
          <w:ilvl w:val="0"/>
          <w:numId w:val="39"/>
        </w:numPr>
        <w:rPr>
          <w:rFonts w:ascii="Calibri" w:hAnsi="Calibri"/>
        </w:rPr>
      </w:pPr>
      <w:r>
        <w:rPr>
          <w:rFonts w:ascii="Calibri" w:hAnsi="Calibri"/>
        </w:rPr>
        <w:t>Take into consideration this paper and collaborate with the High Accuracy Systems Guidelines development.</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AD13D7">
      <w:pPr>
        <w:pStyle w:val="Annex"/>
        <w:numPr>
          <w:ilvl w:val="0"/>
          <w:numId w:val="0"/>
        </w:numPr>
        <w:ind w:left="360"/>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DB744" w14:textId="77777777" w:rsidR="00D32920" w:rsidRDefault="00D32920" w:rsidP="00362CD9">
      <w:r>
        <w:separator/>
      </w:r>
    </w:p>
  </w:endnote>
  <w:endnote w:type="continuationSeparator" w:id="0">
    <w:p w14:paraId="5FB8BC06" w14:textId="77777777" w:rsidR="00D32920" w:rsidRDefault="00D3292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E556F">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94DF5" w14:textId="77777777" w:rsidR="00D32920" w:rsidRDefault="00D32920" w:rsidP="00362CD9">
      <w:r>
        <w:separator/>
      </w:r>
    </w:p>
  </w:footnote>
  <w:footnote w:type="continuationSeparator" w:id="0">
    <w:p w14:paraId="63C36339" w14:textId="77777777" w:rsidR="00D32920" w:rsidRDefault="00D32920"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7C346C" w:rsidRDefault="00ED708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7C346C" w:rsidRDefault="007A395D" w:rsidP="007A395D">
    <w:pPr>
      <w:pStyle w:val="Header"/>
      <w:jc w:val="right"/>
    </w:pPr>
    <w:r>
      <w:rPr>
        <w:noProof/>
        <w:lang w:val="es-ES" w:eastAsia="es-ES"/>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D708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BC2334" w:rsidRDefault="00BC2334" w:rsidP="007A395D">
    <w:pPr>
      <w:pStyle w:val="Header"/>
      <w:jc w:val="center"/>
    </w:pPr>
    <w:r>
      <w:rPr>
        <w:noProof/>
        <w:lang w:val="es-ES" w:eastAsia="es-E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D708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B4E63"/>
    <w:rsid w:val="000C1B3E"/>
    <w:rsid w:val="000C349E"/>
    <w:rsid w:val="00110AE7"/>
    <w:rsid w:val="00172509"/>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07F6"/>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F2C"/>
    <w:rsid w:val="005E262D"/>
    <w:rsid w:val="005F23D3"/>
    <w:rsid w:val="005F7E20"/>
    <w:rsid w:val="00605E43"/>
    <w:rsid w:val="006153BB"/>
    <w:rsid w:val="006652C3"/>
    <w:rsid w:val="00691FD0"/>
    <w:rsid w:val="00692148"/>
    <w:rsid w:val="006A1A1E"/>
    <w:rsid w:val="006C5948"/>
    <w:rsid w:val="006D3734"/>
    <w:rsid w:val="006E556F"/>
    <w:rsid w:val="006F2A74"/>
    <w:rsid w:val="007000D4"/>
    <w:rsid w:val="007118F5"/>
    <w:rsid w:val="00712AA4"/>
    <w:rsid w:val="007146C4"/>
    <w:rsid w:val="00721AA1"/>
    <w:rsid w:val="00724B67"/>
    <w:rsid w:val="007547F8"/>
    <w:rsid w:val="00765622"/>
    <w:rsid w:val="00770B6C"/>
    <w:rsid w:val="00783FEA"/>
    <w:rsid w:val="0079385F"/>
    <w:rsid w:val="007A395D"/>
    <w:rsid w:val="007B6BD5"/>
    <w:rsid w:val="007C183E"/>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84D72"/>
    <w:rsid w:val="0099161D"/>
    <w:rsid w:val="00A0389B"/>
    <w:rsid w:val="00A33A3C"/>
    <w:rsid w:val="00A446C9"/>
    <w:rsid w:val="00A635D6"/>
    <w:rsid w:val="00A8553A"/>
    <w:rsid w:val="00A93AED"/>
    <w:rsid w:val="00AD13D7"/>
    <w:rsid w:val="00AE1319"/>
    <w:rsid w:val="00AE34BB"/>
    <w:rsid w:val="00B11F36"/>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2920"/>
    <w:rsid w:val="00D332B3"/>
    <w:rsid w:val="00D55207"/>
    <w:rsid w:val="00D620A1"/>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D7088"/>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6CE1D-67DC-4633-834C-846488678C02}">
  <ds:schemaRefs>
    <ds:schemaRef ds:uri="http://schemas.openxmlformats.org/officeDocument/2006/bibliography"/>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4E6C0-C7CA-43E7-B47E-2FD9D1962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542</Words>
  <Characters>3094</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cp:revision>
  <dcterms:created xsi:type="dcterms:W3CDTF">2021-02-17T15:13:00Z</dcterms:created>
  <dcterms:modified xsi:type="dcterms:W3CDTF">2021-02-22T16:59:00Z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